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2007/482 vom 13. Mai 2009</w:t>
      </w:r>
    </w:p>
    <w:p>
      <w:r>
        <w:t>Sg Versicherungsgericht, 2009-05-13, DE</w:t>
      </w:r>
    </w:p>
    <w:p>
      <w:r>
        <w:rPr>
          <w:b/>
        </w:rPr>
        <w:t xml:space="preserve">Quelle: </w:t>
      </w:r>
      <w:r>
        <w:t>https://mcp.opencaselaw.ch/entscheid/sg_publikationen_IV 2007_482</w:t>
      </w:r>
    </w:p>
    <w:p>
      <w:r>
        <w:t>FR: SG_VERSICHERUNGSGERICHT IV 2007/482 du 13 mai 2009</w:t>
      </w:r>
    </w:p>
    <w:p>
      <w:r>
        <w:t>IT: SG_VERSICHERUNGSGERICHT IV 2007/482 del 13 maggio 2009</w:t>
      </w:r>
    </w:p>
    <w:p>
      <w:pPr>
        <w:pStyle w:val="Heading2"/>
      </w:pPr>
      <w:r>
        <w:t>Regeste</w:t>
      </w:r>
    </w:p>
    <w:p>
      <w:r>
        <w:t>Art. 16 ATSG; Art. 28 Abs. 1 IVG: Anspruch auf eine Invalidenrente; Anforderungen an den Beweiswert von Arztberichten; schlüssiges Medas-Gutachten; Valideneinkommen unter Anrechnung von regelmässig geleisteten Überstunden; Teilzeitabzug; Bestätigung des Abzuges der Vorinstanz von insgesamt 10%; im Ergebnis aufgrund des höheren Valideneinkommens Anspruch auf eine halbe Rente statt Viertelsrente bei einem IV-Grad von gerundet 50% [Vorinstanz 42%] (Entscheid des Versicherungsgerichts des Kantons St. Gallen vom 13. Mai 2009, IV 2007/482).</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(9. November 2007) eingetretenen Sachverhalt abzustellen ist (BGE 121 V 366 E. 1b), sind vorliegend die bis zum 31. Dezember 2007 geltenden materiellen Bestimmungen anzuwenden.</w:t>
      </w:r>
    </w:p>
    <w:p>
      <w:r>
        <w:rPr>
          <w:b/>
        </w:rPr>
        <w:t>E. 2</w:t>
      </w:r>
    </w:p>
    <w:p>
      <w:r>
        <w:t>2.1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(bzw. Art. 28 Abs. 1 IVG in der bis Ende 2007 gültigen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2.3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Daraus folgt indessen nicht, dass eine solche Expertise den gleichen Rang besitzt wie ein vom Gericht oder von der IV-Stelle nach Massgabe des anwendbaren Verfahrensrechts eingeholtes Gutachten. Trotz dieser beschränkten Bedeutung verpflichtet es indessen, wie jede substantiiert vorgetragene Einwendung gegen eine solche Expertise, das Gericht, den von der Rechtsprechung aufgestellten Richtlinien für die Beweiswürdigung folgend, zu prüfen, ob es in rechtserheblichen Fragen die Auffassungen und Schlussfolgerungen des vom Gericht oder von der IV-Stelle förmlich bestellten Gutachters derart zu erschüttern vermag, dass davon abzuweichen ist (AHI 2001 S. 112, 115). In Bezug auf Atteste von Hausärzten darf und soll das Gericht der Erfahrungstatsache Rechnung tragen, dass Hausärzte mitunter im Hinblick auf ihre auftragsrechtliche Vertrauensstellung in Zweifelsfällen eher zugunsten ihrer Patienten aussagen (BGE 125 V 351 Erw. 3b.cc; SVR 2001 IV Nr. 8 Erw. 3b.cc).</w:t>
      </w:r>
    </w:p>
    <w:p>
      <w:r>
        <w:rPr>
          <w:b/>
        </w:rPr>
        <w:t>E. 3</w:t>
      </w:r>
    </w:p>
    <w:p>
      <w:r>
        <w:t>3.1  Die Beschwerdegegnerin stellte in der Beurteilung des Leistungsanspruchs auf die Einschätzung im polydisziplinären Gutachten der MEDAS Zentralschweiz vom 26. April 2007 mit rheumatologischem und psychiatrischem Konsilium ab. Der Rheumatologe diagnostizierte ein chronisches lumbospondylogenes Syndrom bei Fehlstatik und generalisierten degenerativen Veränderungen, ein chronisches zervikospondylogenes Syndrom bei degenerativen Veränderungen sowie – ohne Auswirkung auf die Arbeitsfähigkeit – ein residuelles Schmerzsyndrom am rechten oberen Sprunggelenk und rechten Knie ohne fassbares pathologisches strukturelles Korrelat. Bezüglich der zuletzt ausgeübten, körperlich schweren und rückenhygienisch ungünstigen Tätigkeit als Kanalisationsarbeiter sei der Versicherte aufgrund der Befunde am Bewegungsapparat 100% arbeitsunfähig. Bei einer körperlich leichten, wechselbelastenden Arbeit bestehe aus rheumatologischer Sicht keine Einschränkung der Arbeitsfähigkeit (IV-act. 58-33/42). Der Psychiater kam zum Schluss, dass neben einer anhaltenden somatoformen Schmerzstörung eine Panikstörung, eine generalisierte Angststörung und eine subsyndromale (leichte) Depression feststellbar seien. Aufgrund dieser Befunde sei das Selbstvertrauen, der Antrieb, die Konzentration und die Ausdauer leicht beeinträchtigt. Der Versicherte könne zwar im Moment aufgrund der psychischen Störungen zeitlich nur wenig eingeschränkt arbeiten, d.h. eine Präsenzzeit von 90-100% sei möglich. Aber die Leistungen seien im Ausmass von etwa 20% eingeschränkt. Aus psychiatrischer Sicht könne sowohl für die bisherige als auch für eine Verweistätigkeit von einer Arbeitsunfähigkeit von etwa 20% ausgegangen werden (IV-cat. 58-41/42). Zusammenfassend wurde im Gutachten die Arbeitsfähigkeit des Versicherten für eine körperlich leichte, wechselnd belastende Tätigkeit ausschliesslich aus psychischen Gründen auf 80% veranschlagt (IV-act. 58-23/42). 3.2  Die MEDAS-Gutachter stützten ihre Beurteilung auf die Vorakten, auf die eigene persönliche Befragung des Beschwerdeführers und die eigenen internistischen, rheumatologischen und psychiatrischen Untersuchungen am 13. und 14. März 2007. Dieses polydisziplinäre Gutachten erfüllt sämtliche rechtsprechungsgemässen Kriterien der Beweistauglichkeit. Es ist für die strittigen Belange umfassend, beruht auf allseitigen Untersuchungen, berücksichtigt die beklagten Beschwerden und ist in Kenntnis der Vorakten abgegeben worden. Zudem sind die Ausführungen in der Beurteilung der medizinischen Zusammenhänge sowie der medizinischen Situation einleuchtend und beinhalten begründete Schlussfolgerungen. Es sind keine Gründe ersichtlich, weshalb nicht auf dieses Gutachten abgestellt werden sollte. Die Schlussfolgerungen im Gutachten werden vom Beschwerdeführer denn auch nicht konkret beanstandet. Das nachgereichte einfache Arztzeugnis des Hausarztes vom 30. Juni 2008 bestätigt eine 100%-ige Arbeitsunfähigkeit ab 1. Januar 2005 bis auf Weiteres (act. G 7.1.1), wobei unklar ist, auf welche Tätigkeiten sich diese Angabe bezieht. Sollte damit die zuletzt ausgeübte Tätigkeit als Kanalisationsmitarbeiter gemeint sein, stimmt diese Einschätzung mit den Schlussfolgerungen im MEDAS-Gutachten überein. Für die Einschätzung der Arbeitsfähigkeit in einer adaptierten Tätigkeit kann diese Arbeitsunfähigkeitsbestätigung des Hausarztes nicht relevant sein. 3.3  Zusammenfassend ist aufgrund des polydisziplinären MEDAS-Gutachtens vom 26. April 2007 von einer Arbeitsfähigkeit im Umfang von 80% in einer leidensangepassten, d.h. körperlich leichten, wechselnd belastenden Tätigkeit auszugehen.</w:t>
      </w:r>
    </w:p>
    <w:p>
      <w:r>
        <w:rPr>
          <w:b/>
        </w:rPr>
        <w:t>E. 4</w:t>
      </w:r>
    </w:p>
    <w:p>
      <w:r>
        <w:t>Der Beschwerdeführer hat durch seine Beschwerde gegen die Verfügung vom 9. November 2007 das gesamte Rechtsverhältnis "Rentenanspruch" zum Gegenstand seiner Beschwerde gemacht. Anfechtungsgegenstand bildet somit dieses verfügungsweise festgelegte Rechtsverhältnis. Auch wenn – was die Regel ist – lediglich einzelne Elemente der Rentenfestsetzung beanstandet werden, bedeutet dies nicht, dass die unbestrittenen Teilaspekte in Rechtskraft erwachsen und demzufolge der richterlichen Überprüfung entzogen sind. Die Beschwerdeinstanz prüft vielmehr von den Verfahrensbeteiligten nicht aufgeworfene Rechtsfragen und nimmt allenfalls selber zusätzliche Abklärungen vor (BGE 125 IV 415 E. 2; vgl. auch Ueli Kieser, ATSG-Kommentar, N 50 zu Art. 61 mit Hinweisen auf die Rechtsprechung). Die Ausführungen der Beschwerdegegnerin, wonach der Beschwerdeführer in Bezug auf die nicht bemängelten Punkte der Festlegung des IV-Grades "zu behaften" sei (act. G 4, Ziff. III/1), sind demnach unzutreffend. Im Folgenden ist daher auch der Einkommensvergleich und mithin auch das Valideneinkommen zu überprüfen.</w:t>
      </w:r>
    </w:p>
    <w:p>
      <w:r>
        <w:rPr>
          <w:b/>
        </w:rPr>
        <w:t>E. 5</w:t>
      </w:r>
    </w:p>
    <w:p>
      <w:r>
        <w:t>5.1  Unter dem Valideneinkommen ist jenes Einkommen zu verstehen, welches die versicherte Person als Gesunde tatsächlich erzielen würde. Die Einkommensermittlung hat so konkret wie möglich zu erfolgen. Massgebend ist, was die versicherte Person aufgrund ihrer beruflichen Fähigkeiten und persönlichen Umstände unter Berücksichtigung ihrer beruflichen Weiterentwicklung, soweit hiefür hinreichend konkrete Anhaltspunkte bestehen, zu erwarten gehabt hätte. Da nach empirischer Feststellung in der Regel die bisherige Tätigkeit im Gesundheitsfall weitergeführt worden wäre, ist Anknüpfungspunkt für die Bestimmung des Valideneinkommens häufig der zuletzt erzielte, der Teuerung sowie der realen Einkommensentwicklung angepasste Verdienst. Entscheidend ist, was der Versicherte im massgebenden Zeitpunkt nach dem Beweisgrad der überwiegenden Wahrscheinlichkeit als Gesunder tatsächlich verdienen würde. Nicht auf den zuletzt erzielten Lohn kann abgestellt werden, wenn dieser offensichtlich nicht dem Einkommen entspricht, das die versicherte Person im Gesundheitsfall nach überwiegender Wahrscheinlichkeit in der Lage gewesen wäre zu realisieren. Lässt sich aufgrund der tatsächlichen Verhältnisse das ohne gesundheitliche Beeinträchtigung realisierte Einkommen nicht hinreichend genau beziffern, ist auf Erfahrungs- und Durchschnittswerte abzustellen. Auf sie darf jedoch im Rahmen der Invaliditätsbemessung nur unter Mitberücksichtigung der für die Entlöhnung im Einzelfall gegebenenfalls relevanten persönlichen und beruflichen Faktoren abgestellt werden (Urteil des Bundesgerichts vom 27. Dezember 2006, I 173/06, Erw. 5.1 mit Hinweisen auf Rechtsprechung und Literatur). 5.2  Die Beschwerdegegnerin stellte beim Valideneinkommen offensichtlich auf die Angaben der Arbeitgeberin im Fragebogen vom 10. Oktober 2005 ab. Damals führte die A.___ AG aus, der Beschwerdeführer würde heute für die zuletzt bei ihr ausgeübte Tätigkeit Fr. 66'000.- verdienen (IV-act. 44). Darin noch nicht enthalten ist jedoch der jeweils ausbezahlte 13. Monatslohn von Fr. 5'500.-, sodass sich das Jahreseinkommen auf Fr. 71'500.- belaufen würde. Davon ist auch die Beschwerdegegnerin für das Jahr 2004 ausgegangen und berechnete unter Berücksichtigung der Lohnentwicklung bis 2007 ein massgebendes Valideneinkommen von Fr. 73'739.- (IV-act. 73). Indessen geht aus den Akten hervor, dass der Beschwerdeführer in den Jahren zuvor – mit Ausnahme des Jahres 2002 – jeweils Überstunden geleistet und daher ein deutlich höheres Einkommen erzielt hatte (2000 [mit Arbeitsbeginn am 1. März, vgl. IV-act. 58-12/42 und act. 38]: Fr. 82'820.-; 2001: Fr. 80'210.-; 2002: Fr. 71'500.-; 2003: Fr. 79'900.-; 2004: Fr. 83'778.-; vgl. IV-act. 38 und act. 55-2 und 3/4). Dieser regelmässig erzielte Mehrverdienst ist bei der Festsetzung des Valideneinkommens im Rahmen eines Durchschnittswerts zu berücksichtigen (vgl. Urteil des Bundesgerichts vom 16. Januar 2006, I 273/05, Erw. 3.1.2). Daraus ergibt sich ein massgebender durchschnittlicher Jahresverdienst in der Zeit von März 2000 bis Ende 2004 von Fr. 82'388.- (Fr. 398'208.- : 58 Mte. x 12 Mte.). 5.3  Streitig ist im Rahmen der Invaliditätsbemessung die Höhe des Abzuges nach BGE 126 V 75 ff. bei der Festsetzung des Einkommens nach Eintritt der Invalidität (Invalideneinkommen), welches im vorliegenden Fall zu Recht anhand der vom Bundesamt für Statistik herausgegebenen Schweizerischen Lohnstrukturerhebung (LSE) ermittelt worden ist, zumal der Beschwerdeführer seine Resterwerbsfähigkeit zurzeit nicht ausschöpft. Im Jahr 2004 verdienten Männer im Anforderungsniveau 4 bei der betriebsüblichen durchschnittlichen Arbeitszeit von 41.6 Wochenstunden Fr. 57'258.- (Fr. 4'588.- x 12 : 40h x 41.6h; vgl. LSE 2004, Tabelle TA1, S. 53). Da davon auszugehen ist, dass sich das Validen- und Invalideneinkommen in etwa gleich entwickeln werden, können die entsprechenden Einkommenszahlen aus zurückliegenden Jahren ohne Anpassung an die teuerungsbedingte Lohnentwicklung einander gegenübergestellt werden. Bei einer Arbeitsfähigkeit von 80% resultiert ein Einkommen von Fr. 45'806.-. Die Beschwerdegegnerin hat zusätzlich einen "Leidensabzug" von 10% anerkannt (IV-act. 71 und 73). 5.4  Der oftmals als "Leidensabzug" bezeichnete Abzug hat mit dem Leiden als solchem nichts zu tun. Vielmehr sollen damit jene Nachteile ausgeglichen werden, welche die versicherte Person mit einer gesundheitlichen Beeinträchtigung dadurch erleidet, dass das Invalideneinkommen ausgehend von statistisch erhobenen Durchschnittslöhnen ermittelt wird. Dies bewirkt - neben der Arbeitsunfähigkeit - auf den realen Arbeitsmarkt bezogen nicht selten eine zusätzliche Lohneinbusse. Denn die Durchschnittslöhne, die Ausgangsbasis zur Ermittlung des zumutbaren Invalideneinkommens bilden, werden von gesunden Arbeitskräften erzielt. In BGE 126 V 75 neues Fenster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 liegender erscheinen lassen. 5.5  Vorliegend ist zunächst zu berücksichtigen, dass teilzeitbeschäftigte Männer in der Regel überproportional weniger verdienen als Vollzeitangestellte. Bei Arbeitsplätzen mit dem Anforderungsniveau 4 entspricht die Lohneinbusse zwischen einem Beschäftigungsgrad von mehr als 90% und einem solchen von 75 – 89% rund 6% (vgl. z.B. Tabelle T2* der LSE 2006 S. 16). Es erscheint daher vorliegend ein Abzug vom Tabellenlohn für diesen Nachteil bei Teilzeitbeschäftigung in der Höhe von rund 6% angemessen (vgl. BGE 124 V 321 E. 3b.aa; AHI 1998 S. 175 E. 4b, S. 287 E. 3b). Dieser Abzug rechtfertigt sich im Übrigen nicht nur bei Teilzeitarbeit als solcher, sondern auch bei einem ganztägigen Einsatz bei reduzierter Leistungsfähigkeit (vgl. Urteil des Bundesgerichts vom 8. Januar 2008, 9C_603/07, E. 4.2.3; vgl. auch Entscheid des Versicherungsgerichts vom 17. März 2009, IV 2007/268 Erw. 4.2.3). Das Gesagte bedeutet nicht, dass der Beschwerdeführer nur einen statistisch ausgewiesenen Lohnnachteil von ca. 6% bei Teilzeitarbeit erleiden würde. Er weist nämlich gegenüber gesunden zu 80% beschäftigten Hilfsarbeitern eine Reihe von Konkurrenznachteilen auf: Er stellt für einen potentiellen Arbeitgeber ein höheres Risiko krankheitsbedingter Absenzen dar; er ist weniger flexibel, weil er nicht ohne weiteres vorübergehend an einem anderen, nicht adaptierten Arbeitsplatz eingesetzt werden und weil er nicht bei Bedarf den Beschäftigungsgrad vorübergehend erhöhen oder sogar Überstunden leisten kann, und er benötigt mehr Rücksichtnahme seitens der Arbeitskollegen und Vorgesetzten als ein gesunder Hilfsarbeiter in derselben adaptierten Tätigkeit. Diesen Konkurrenznachteil gegenüber dem gesunden zu 80% beschäftigten Hilfsarbeiter muss der Beschwerdeführer durch einen unterdurchschnittlichen Lohn kompensieren, damit ein potentieller Arbeitgeber nicht zum vornherein einen der gesunden Konkurrenten für einen adaptierten Arbeitsplatz auswählt. Der konkrete Konkurrenznachteil rechtfertigt aber entgegen der Auffassung des Beschwerdeführers keineswegs eine Ausnützung der maximal zulässigen Abzugsmöglichkeit von 25%. Im Hinblick darauf, dass der Beschwerdeführer in einer körperlich leichten Tätigkeit – mit Ausnahme des reduzierten Beschäftigungsgrades – nicht zusätzlich eingeschränkt ist, hat die Beschwerdegegnerin mit dem gewährten Abzug von insgesamt 10% die zu erwartenden lohnmässigen Nachteile im Ergebnis angemessen berücksichtigt. Im Rahmen der Ermessenskontrolle ist dieser Abzug von gesamthaft 10% nicht zu beanstanden. Bei einem zumutbaren Arbeitspensum von 80% und unter Berücksichtigung eines Abzugs von 10% ergibt sich ein Invalideneinkommen von Fr. 41'226.- (Fr. 57'258.- x 0,8 x 0,9). 5.6  Bei einem Valideneinkommen von Fr. 82'388.- und einem massgebenden Invalideneinkommen von Fr. 41'226.- ergibt sich bei einer Lohneinbusse von Fr. 41'122.- ein Invaliditätsgrad von (gerundet; vgl. BGE 130 V 123 Erw. 3.2) 50%. Damit besteht seit 1. Januar 2006, dem Ablauf der einjährigen Wartezeit (Art. 29 Abs. 1 lit b IVG), welche mit dem Eintritt der Arbeitsunfähigkeit im Januar 2005 (IV-act. 43-3/9, act. 45-1/17) begann, ein Anspruch auf eine halbe Rente der Invalidenversicherung.</w:t>
      </w:r>
    </w:p>
    <w:p>
      <w:r>
        <w:rPr>
          <w:b/>
        </w:rPr>
        <w:t>E. 6</w:t>
      </w:r>
    </w:p>
    <w:p>
      <w:r>
        <w:t>6.1  Im Sinne der vorstehenden Erwägungen ist die Beschwerde gegen die Verfügung vom 9. November 2007 gutzuheissen mit der Feststellung, dass der Beschwerdeführer mit Wirkung ab 1. Januar 2006 Anspruch auf eine halbe Rente der Invalidenversicherung hat. 6.2  Das Beschwerdeverfahren ist kostenpflichtig. Die Kosten werden nach dem Verfahrensaufwand und unabhängig vom Streitwert im Rahmen von Fr. 200.- bis Fr. 1'000.- festgelegt (Art. 69 Abs. 1 bis IVG). Eine Gerichtsgebühr von Fr. 600.- erscheint als angemessen. Da die Beschwerdegegnerin unterliegt, hat sie die Gerichtsgebühr von Fr. 600.- zu bezahlen. Der geleistete Kostenvorschuss von Fr. 600.00 wird dem Beschwerdeführer zurückerstattet. 6.3  Gemäss Art. 61 lit. g ATSG hat die obsiegende beschwerdeführende Partei Anspruch auf Ersatz der Parteikosten. Der Beschwerdeführer war bis zur Mandatsniederlegung am 14. November 2008 anwaltlich vertreten (act. G 9).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750.-- bis Fr. 7'500.--. Der Rechtsvertreter des Beschwerdeführers verzichtete auf das Einreichen einer Kostennote. Im vorliegenden Fall wurde ein einfacher Schriftenwechsel durchgeführt. Zudem enthält die Beschwerdeschrift die identischen Ausführungen wie die Einwände im Vorbescheidsverfahren (IV-act. 96 und act. G 1), was den Aufwand im Beschwerdeverfahren erheblich reduzierte. Und für die Anwaltskosten im Vorbescheidsverfahren wurde dem Beschwerdeführer infolge Gewährung der unentgeltlichen Rechtsverbeiständung bereits eine Parteientschädigung zugesprochen (IV-act. 93). Unter diesen Umständen erscheint eine Parteientschädigung für das Beschwerdeverfahren von Fr. 2000.- (inklusive Barauslagen und Mehrwertsteuer) als angemessen. Demgemäss hat das Versicherungsgericht im Zirkulationsverfahren gemäss Art. 53 GerG entschieden: 1. In Gutheissung der Beschwerde wird die Verfügung vom 9. November 2007 aufgehoben und dem Beschwerdeführer ab 1. Januar 2006 eine halbe Rente zugesprochen. 2. Die Beschwerdegegnerin bezahlt eine Gerichtsgebühr von Fr. 600.-. Der geleistete Kostenvorschuss von Fr. 600.- wird dem Beschwerdeführer zurückerstattet. 3. Die Beschwerdegegnerin hat dem Beschwerdeführer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